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8A604" w14:textId="0D201ECA"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04181324"/>
      <w:bookmarkEnd w:id="0"/>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70</w:t>
      </w:r>
      <w:r w:rsidRPr="0046289C">
        <w:rPr>
          <w:rFonts w:ascii="Arial" w:eastAsia="Arial Unicode MS" w:hAnsi="Arial" w:cs="Arial"/>
          <w:b/>
          <w:bCs/>
          <w:sz w:val="24"/>
        </w:rPr>
        <w:tab/>
      </w:r>
      <w:bookmarkStart w:id="1" w:name="_GoBack"/>
      <w:r w:rsidR="006B4442" w:rsidRPr="006B4442">
        <w:rPr>
          <w:rFonts w:ascii="Arial" w:eastAsia="Arial Unicode MS" w:hAnsi="Arial" w:cs="Arial"/>
          <w:b/>
          <w:bCs/>
          <w:i/>
          <w:sz w:val="28"/>
        </w:rPr>
        <w:t>S2-250667</w:t>
      </w:r>
      <w:r w:rsidR="006B4442">
        <w:rPr>
          <w:rFonts w:ascii="Arial" w:eastAsia="Arial Unicode MS" w:hAnsi="Arial" w:cs="Arial"/>
          <w:b/>
          <w:bCs/>
          <w:i/>
          <w:sz w:val="28"/>
        </w:rPr>
        <w:t>2</w:t>
      </w:r>
      <w:bookmarkEnd w:id="1"/>
    </w:p>
    <w:p w14:paraId="7EB5C9AE" w14:textId="16FE460D" w:rsidR="00A24F28" w:rsidRPr="00927C1B" w:rsidRDefault="00D947D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47D8">
        <w:rPr>
          <w:rFonts w:ascii="Arial" w:eastAsia="Arial Unicode MS" w:hAnsi="Arial" w:cs="Arial"/>
          <w:b/>
          <w:bCs/>
          <w:sz w:val="24"/>
        </w:rPr>
        <w:t>Goteborg, SE</w:t>
      </w:r>
      <w:r w:rsidR="009C5239" w:rsidRPr="00F4738E">
        <w:rPr>
          <w:rFonts w:ascii="Arial" w:eastAsia="Arial Unicode MS" w:hAnsi="Arial" w:cs="Arial"/>
          <w:b/>
          <w:bCs/>
          <w:sz w:val="24"/>
        </w:rPr>
        <w:t xml:space="preserve">, </w:t>
      </w:r>
      <w:r>
        <w:rPr>
          <w:rFonts w:ascii="Arial" w:eastAsia="Arial Unicode MS" w:hAnsi="Arial" w:cs="Arial"/>
          <w:b/>
          <w:bCs/>
          <w:sz w:val="24"/>
        </w:rPr>
        <w:t>25</w:t>
      </w:r>
      <w:r w:rsidR="001C0699" w:rsidRPr="001C0699">
        <w:rPr>
          <w:rFonts w:ascii="Arial" w:eastAsia="Arial Unicode MS" w:hAnsi="Arial" w:cs="Arial"/>
          <w:b/>
          <w:bCs/>
          <w:sz w:val="24"/>
          <w:vertAlign w:val="superscript"/>
        </w:rPr>
        <w:t>th</w:t>
      </w:r>
      <w:r w:rsidR="001C0699">
        <w:rPr>
          <w:rFonts w:ascii="Arial" w:eastAsia="Arial Unicode MS" w:hAnsi="Arial" w:cs="Arial"/>
          <w:b/>
          <w:bCs/>
          <w:sz w:val="24"/>
        </w:rPr>
        <w:t xml:space="preserve"> </w:t>
      </w:r>
      <w:r>
        <w:rPr>
          <w:rFonts w:ascii="Arial" w:eastAsia="Arial Unicode MS" w:hAnsi="Arial" w:cs="Arial"/>
          <w:b/>
          <w:bCs/>
          <w:sz w:val="24"/>
        </w:rPr>
        <w:t>Aug</w:t>
      </w:r>
      <w:r w:rsidR="008F26BC">
        <w:rPr>
          <w:rFonts w:ascii="Arial" w:eastAsia="Arial Unicode MS" w:hAnsi="Arial" w:cs="Arial"/>
          <w:b/>
          <w:bCs/>
          <w:sz w:val="24"/>
        </w:rPr>
        <w:t xml:space="preserve"> </w:t>
      </w:r>
      <w:r w:rsidR="009C5239" w:rsidRPr="00F4738E">
        <w:rPr>
          <w:rFonts w:ascii="Arial" w:eastAsia="Arial Unicode MS" w:hAnsi="Arial" w:cs="Arial"/>
          <w:b/>
          <w:bCs/>
          <w:sz w:val="24"/>
        </w:rPr>
        <w:t>–</w:t>
      </w:r>
      <w:r w:rsidR="009C5239">
        <w:rPr>
          <w:rFonts w:ascii="Arial" w:eastAsia="Arial Unicode MS" w:hAnsi="Arial" w:cs="Arial"/>
          <w:b/>
          <w:bCs/>
          <w:sz w:val="24"/>
        </w:rPr>
        <w:t xml:space="preserve"> </w:t>
      </w:r>
      <w:r>
        <w:rPr>
          <w:rFonts w:ascii="Arial" w:eastAsia="Arial Unicode MS" w:hAnsi="Arial" w:cs="Arial"/>
          <w:b/>
          <w:bCs/>
          <w:sz w:val="24"/>
        </w:rPr>
        <w:t>29</w:t>
      </w:r>
      <w:r w:rsidRPr="00D947D8">
        <w:rPr>
          <w:rFonts w:ascii="Arial" w:eastAsia="Arial Unicode MS" w:hAnsi="Arial" w:cs="Arial"/>
          <w:b/>
          <w:bCs/>
          <w:sz w:val="24"/>
          <w:vertAlign w:val="superscript"/>
        </w:rPr>
        <w:t>th</w:t>
      </w:r>
      <w:r>
        <w:rPr>
          <w:rFonts w:ascii="Arial" w:eastAsia="Arial Unicode MS" w:hAnsi="Arial" w:cs="Arial"/>
          <w:b/>
          <w:bCs/>
          <w:sz w:val="24"/>
        </w:rPr>
        <w:t xml:space="preserve"> Aug</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9C5239">
        <w:rPr>
          <w:rFonts w:ascii="Arial" w:eastAsia="Arial Unicode MS" w:hAnsi="Arial" w:cs="Arial"/>
          <w:b/>
          <w:bCs/>
          <w:sz w:val="24"/>
        </w:rPr>
        <w:t>5</w:t>
      </w:r>
      <w:r w:rsidR="0021576A" w:rsidRPr="00927C1B">
        <w:rPr>
          <w:rFonts w:ascii="Arial" w:eastAsia="Arial Unicode MS" w:hAnsi="Arial" w:cs="Arial"/>
          <w:b/>
          <w:bCs/>
        </w:rPr>
        <w:tab/>
      </w:r>
      <w:r w:rsidR="00050A6B">
        <w:rPr>
          <w:rFonts w:ascii="Arial" w:hAnsi="Arial" w:cs="Arial"/>
          <w:b/>
          <w:bCs/>
          <w:color w:val="0000FF"/>
        </w:rPr>
        <w:t>(revision of S2-2</w:t>
      </w:r>
      <w:r w:rsidR="001C0699">
        <w:rPr>
          <w:rFonts w:ascii="Arial" w:hAnsi="Arial" w:cs="Arial"/>
          <w:b/>
          <w:bCs/>
          <w:color w:val="0000FF"/>
        </w:rPr>
        <w:t>5</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4EE3F06B" w:rsidR="0022711B" w:rsidRPr="00F21D3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4409B" w:rsidRPr="00F21D3E">
        <w:rPr>
          <w:rFonts w:ascii="Arial" w:hAnsi="Arial" w:cs="Arial"/>
          <w:b/>
        </w:rPr>
        <w:t xml:space="preserve">Discussion on </w:t>
      </w:r>
      <w:proofErr w:type="spellStart"/>
      <w:r w:rsidR="0054409B" w:rsidRPr="00F21D3E">
        <w:rPr>
          <w:rFonts w:ascii="Arial" w:hAnsi="Arial" w:cs="Arial"/>
          <w:b/>
        </w:rPr>
        <w:t>signaling</w:t>
      </w:r>
      <w:proofErr w:type="spellEnd"/>
      <w:r w:rsidR="0054409B" w:rsidRPr="00F21D3E">
        <w:rPr>
          <w:rFonts w:ascii="Arial" w:hAnsi="Arial" w:cs="Arial"/>
          <w:b/>
        </w:rPr>
        <w:t xml:space="preserve"> feasibility of dataset and parameter sharing</w:t>
      </w:r>
    </w:p>
    <w:p w14:paraId="4D475730" w14:textId="2B668DD3" w:rsidR="00A24F28" w:rsidRPr="00C61B3A" w:rsidRDefault="002A3C41" w:rsidP="00A24F28">
      <w:pPr>
        <w:ind w:left="2127" w:hanging="2127"/>
        <w:rPr>
          <w:rFonts w:ascii="Arial" w:hAnsi="Arial" w:cs="Arial"/>
          <w:b/>
        </w:rPr>
      </w:pPr>
      <w:r w:rsidRPr="00F21D3E">
        <w:rPr>
          <w:rFonts w:ascii="Arial" w:hAnsi="Arial" w:cs="Arial"/>
          <w:b/>
        </w:rPr>
        <w:t>Document for:</w:t>
      </w:r>
      <w:r w:rsidRPr="00F21D3E">
        <w:rPr>
          <w:rFonts w:ascii="Arial" w:hAnsi="Arial" w:cs="Arial"/>
          <w:b/>
        </w:rPr>
        <w:tab/>
      </w:r>
      <w:r w:rsidR="00B4739E" w:rsidRPr="00F21D3E">
        <w:rPr>
          <w:rFonts w:ascii="Arial" w:hAnsi="Arial" w:cs="Arial"/>
          <w:b/>
        </w:rPr>
        <w:t>Discussion</w:t>
      </w:r>
    </w:p>
    <w:p w14:paraId="44E8A11B" w14:textId="11E1D886" w:rsidR="00A24F28" w:rsidRPr="00F21D3E"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E4B4C" w:rsidRPr="00F21D3E">
        <w:rPr>
          <w:rFonts w:ascii="Arial" w:hAnsi="Arial" w:cs="Arial"/>
          <w:b/>
        </w:rPr>
        <w:t>19.49</w:t>
      </w:r>
    </w:p>
    <w:p w14:paraId="2B796C64" w14:textId="1619911A" w:rsidR="00A24F28" w:rsidRPr="00927C1B" w:rsidRDefault="00A24F28" w:rsidP="00A24F28">
      <w:pPr>
        <w:ind w:left="2127" w:hanging="2127"/>
        <w:rPr>
          <w:rFonts w:ascii="Arial" w:hAnsi="Arial" w:cs="Arial"/>
          <w:b/>
        </w:rPr>
      </w:pPr>
      <w:r w:rsidRPr="00F21D3E">
        <w:rPr>
          <w:rFonts w:ascii="Arial" w:hAnsi="Arial" w:cs="Arial"/>
          <w:b/>
        </w:rPr>
        <w:t>Work Item / Release:</w:t>
      </w:r>
      <w:r w:rsidRPr="00F21D3E">
        <w:rPr>
          <w:rFonts w:ascii="Arial" w:hAnsi="Arial" w:cs="Arial"/>
          <w:b/>
        </w:rPr>
        <w:tab/>
      </w:r>
      <w:proofErr w:type="spellStart"/>
      <w:r w:rsidR="00F21D3E" w:rsidRPr="00F21D3E">
        <w:rPr>
          <w:rFonts w:ascii="Arial" w:hAnsi="Arial" w:cs="Arial"/>
          <w:b/>
        </w:rPr>
        <w:t>NR_AIML_air</w:t>
      </w:r>
      <w:proofErr w:type="spellEnd"/>
      <w:r w:rsidR="00F21D3E" w:rsidRPr="00F21D3E">
        <w:rPr>
          <w:rFonts w:ascii="Arial" w:hAnsi="Arial" w:cs="Arial"/>
          <w:b/>
        </w:rPr>
        <w:t xml:space="preserve">-Core </w:t>
      </w:r>
      <w:r w:rsidR="00E2205A" w:rsidRPr="00F21D3E">
        <w:rPr>
          <w:rFonts w:ascii="Arial" w:hAnsi="Arial" w:cs="Arial"/>
          <w:b/>
        </w:rPr>
        <w:t>/ Rel-</w:t>
      </w:r>
      <w:r w:rsidR="006B3C39" w:rsidRPr="00F21D3E">
        <w:rPr>
          <w:rFonts w:ascii="Arial" w:hAnsi="Arial" w:cs="Arial"/>
          <w:b/>
        </w:rPr>
        <w:t>1</w:t>
      </w:r>
      <w:r w:rsidR="001E714F" w:rsidRPr="00F21D3E">
        <w:rPr>
          <w:rFonts w:ascii="Arial" w:hAnsi="Arial" w:cs="Arial"/>
          <w:b/>
        </w:rPr>
        <w:t>9</w:t>
      </w:r>
    </w:p>
    <w:p w14:paraId="6C3FFB29" w14:textId="6E584417" w:rsidR="00EF48DB" w:rsidRPr="00927C1B" w:rsidRDefault="00A24F28" w:rsidP="00EC53AC">
      <w:pPr>
        <w:jc w:val="both"/>
        <w:rPr>
          <w:rFonts w:ascii="Arial" w:hAnsi="Arial" w:cs="Arial"/>
          <w:i/>
        </w:rPr>
      </w:pPr>
      <w:r w:rsidRPr="00927C1B">
        <w:rPr>
          <w:rFonts w:ascii="Arial" w:hAnsi="Arial" w:cs="Arial"/>
          <w:i/>
        </w:rPr>
        <w:t>Abs</w:t>
      </w:r>
      <w:r w:rsidRPr="00F21D3E">
        <w:rPr>
          <w:rFonts w:ascii="Arial" w:hAnsi="Arial" w:cs="Arial"/>
          <w:i/>
        </w:rPr>
        <w:t xml:space="preserve">tract: </w:t>
      </w:r>
      <w:r w:rsidR="00DA6F28" w:rsidRPr="00F21D3E">
        <w:rPr>
          <w:rFonts w:ascii="Arial" w:hAnsi="Arial" w:cs="Arial"/>
          <w:i/>
        </w:rPr>
        <w:t>It proposes to discuss how to reply the LS on signa</w:t>
      </w:r>
      <w:r w:rsidR="00DA6F28" w:rsidRPr="00DA6F28">
        <w:rPr>
          <w:rFonts w:ascii="Arial" w:hAnsi="Arial" w:cs="Arial"/>
          <w:i/>
        </w:rPr>
        <w:t>lling feasibility of dataset and parameter sharing</w:t>
      </w:r>
      <w:r w:rsidR="00DA6F28">
        <w:rPr>
          <w:rFonts w:ascii="Arial" w:hAnsi="Arial" w:cs="Arial"/>
          <w:i/>
        </w:rPr>
        <w:t>.</w:t>
      </w:r>
    </w:p>
    <w:p w14:paraId="6D9354FE" w14:textId="77777777" w:rsidR="00A93620" w:rsidRDefault="00B3593E" w:rsidP="00B3593E">
      <w:pPr>
        <w:pStyle w:val="1"/>
      </w:pPr>
      <w:r w:rsidRPr="00927C1B">
        <w:t xml:space="preserve">1. </w:t>
      </w:r>
      <w:r w:rsidR="00B4739E">
        <w:t>Introduction</w:t>
      </w:r>
    </w:p>
    <w:p w14:paraId="48309347" w14:textId="0064D415" w:rsidR="00294B58" w:rsidRPr="0054409B" w:rsidRDefault="0054409B" w:rsidP="00294B58">
      <w:pPr>
        <w:rPr>
          <w:rFonts w:eastAsiaTheme="minorEastAsia"/>
          <w:lang w:eastAsia="zh-CN"/>
        </w:rPr>
      </w:pPr>
      <w:r>
        <w:rPr>
          <w:rFonts w:eastAsiaTheme="minorEastAsia" w:hint="eastAsia"/>
          <w:lang w:eastAsia="zh-CN"/>
        </w:rPr>
        <w:t>I</w:t>
      </w:r>
      <w:r>
        <w:rPr>
          <w:rFonts w:eastAsiaTheme="minorEastAsia"/>
          <w:lang w:eastAsia="zh-CN"/>
        </w:rPr>
        <w:t>n SA2#169, the LS from RAN2 on</w:t>
      </w:r>
      <w:r w:rsidRPr="0054409B">
        <w:t xml:space="preserve"> </w:t>
      </w:r>
      <w:proofErr w:type="spellStart"/>
      <w:r>
        <w:t>signaling</w:t>
      </w:r>
      <w:proofErr w:type="spellEnd"/>
      <w:r>
        <w:t xml:space="preserve"> feasibility of dataset and parameter sharing</w:t>
      </w:r>
      <w:r>
        <w:rPr>
          <w:rFonts w:eastAsiaTheme="minorEastAsia"/>
          <w:lang w:eastAsia="zh-CN"/>
        </w:rPr>
        <w:t xml:space="preserve"> has been discussed. There is no agreement on how to describe the current </w:t>
      </w:r>
      <w:r w:rsidR="001E4B4C">
        <w:rPr>
          <w:rFonts w:eastAsiaTheme="minorEastAsia"/>
          <w:lang w:eastAsia="zh-CN"/>
        </w:rPr>
        <w:t xml:space="preserve">R19 </w:t>
      </w:r>
      <w:r>
        <w:rPr>
          <w:rFonts w:eastAsiaTheme="minorEastAsia"/>
          <w:lang w:eastAsia="zh-CN"/>
        </w:rPr>
        <w:t>status in SA2. Besides, there is a question back to RAN 2 on the differences between option 2 and option 3.</w:t>
      </w:r>
    </w:p>
    <w:p w14:paraId="0A8EE024" w14:textId="77777777" w:rsidR="0076782A" w:rsidRDefault="00F261CF" w:rsidP="00F261CF">
      <w:pPr>
        <w:pStyle w:val="1"/>
        <w:rPr>
          <w:lang w:eastAsia="zh-CN"/>
        </w:rPr>
      </w:pPr>
      <w:r>
        <w:rPr>
          <w:lang w:eastAsia="zh-CN"/>
        </w:rPr>
        <w:t>2. Discussion</w:t>
      </w:r>
    </w:p>
    <w:p w14:paraId="71324194" w14:textId="61C229D6" w:rsidR="0054409B" w:rsidRDefault="0054409B" w:rsidP="00294B58">
      <w:pPr>
        <w:rPr>
          <w:rFonts w:eastAsiaTheme="minorEastAsia"/>
          <w:lang w:eastAsia="zh-CN"/>
        </w:rPr>
      </w:pPr>
      <w:r>
        <w:rPr>
          <w:rFonts w:eastAsiaTheme="minorEastAsia" w:hint="eastAsia"/>
          <w:lang w:eastAsia="zh-CN"/>
        </w:rPr>
        <w:t>1</w:t>
      </w:r>
      <w:r>
        <w:rPr>
          <w:rFonts w:eastAsiaTheme="minorEastAsia"/>
          <w:lang w:eastAsia="zh-CN"/>
        </w:rPr>
        <w:t>) On how to describe the current status</w:t>
      </w:r>
      <w:r w:rsidR="00F67AFF">
        <w:rPr>
          <w:rFonts w:eastAsiaTheme="minorEastAsia"/>
          <w:lang w:eastAsia="zh-CN"/>
        </w:rPr>
        <w:t xml:space="preserve"> of R19</w:t>
      </w:r>
      <w:r>
        <w:rPr>
          <w:rFonts w:eastAsiaTheme="minorEastAsia"/>
          <w:lang w:eastAsia="zh-CN"/>
        </w:rPr>
        <w:t>.</w:t>
      </w:r>
    </w:p>
    <w:p w14:paraId="72D3CDE0" w14:textId="4CDA02DC" w:rsidR="0054409B" w:rsidRDefault="0054409B" w:rsidP="00294B58">
      <w:pPr>
        <w:rPr>
          <w:rFonts w:eastAsiaTheme="minorEastAsia"/>
          <w:lang w:eastAsia="zh-CN"/>
        </w:rPr>
      </w:pPr>
      <w:r>
        <w:rPr>
          <w:rFonts w:eastAsiaTheme="minorEastAsia"/>
          <w:lang w:eastAsia="zh-CN"/>
        </w:rPr>
        <w:t xml:space="preserve">The current status of RAN WG: </w:t>
      </w:r>
      <w:r w:rsidR="001E4B4C" w:rsidRPr="001E4B4C">
        <w:rPr>
          <w:rFonts w:eastAsiaTheme="minorEastAsia"/>
          <w:lang w:eastAsia="zh-CN"/>
        </w:rPr>
        <w:t>RP-251870 New WI on AIML for NR air inte</w:t>
      </w:r>
      <w:r w:rsidR="001E4B4C">
        <w:rPr>
          <w:rFonts w:eastAsiaTheme="minorEastAsia"/>
          <w:lang w:eastAsia="zh-CN"/>
        </w:rPr>
        <w:t>r</w:t>
      </w:r>
      <w:r w:rsidR="001E4B4C" w:rsidRPr="001E4B4C">
        <w:rPr>
          <w:rFonts w:eastAsiaTheme="minorEastAsia"/>
          <w:lang w:eastAsia="zh-CN"/>
        </w:rPr>
        <w:t>face Ph2</w:t>
      </w:r>
      <w:r w:rsidR="001E4B4C">
        <w:rPr>
          <w:rFonts w:eastAsiaTheme="minorEastAsia"/>
          <w:lang w:eastAsia="zh-CN"/>
        </w:rPr>
        <w:t xml:space="preserve"> has been approved. </w:t>
      </w:r>
    </w:p>
    <w:p w14:paraId="505D6F89" w14:textId="3C96CE60" w:rsidR="001E4B4C" w:rsidRPr="001E4B4C" w:rsidRDefault="001E4B4C" w:rsidP="00294B58">
      <w:pPr>
        <w:rPr>
          <w:rFonts w:eastAsiaTheme="minorEastAsia"/>
          <w:lang w:val="en-US" w:eastAsia="zh-CN"/>
        </w:rPr>
      </w:pPr>
      <w:r>
        <w:rPr>
          <w:rFonts w:eastAsiaTheme="minorEastAsia"/>
          <w:noProof/>
          <w:lang w:eastAsia="zh-CN"/>
        </w:rPr>
        <mc:AlternateContent>
          <mc:Choice Requires="wps">
            <w:drawing>
              <wp:inline distT="0" distB="0" distL="0" distR="0" wp14:anchorId="0077FA84" wp14:editId="2676D9C3">
                <wp:extent cx="5800725" cy="1543050"/>
                <wp:effectExtent l="0" t="0" r="28575" b="19050"/>
                <wp:docPr id="1" name="矩形 1"/>
                <wp:cNvGraphicFramePr/>
                <a:graphic xmlns:a="http://schemas.openxmlformats.org/drawingml/2006/main">
                  <a:graphicData uri="http://schemas.microsoft.com/office/word/2010/wordprocessingShape">
                    <wps:wsp>
                      <wps:cNvSpPr/>
                      <wps:spPr>
                        <a:xfrm>
                          <a:off x="0" y="0"/>
                          <a:ext cx="5800725" cy="1543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4B9A8" w14:textId="77777777" w:rsidR="001E4B4C" w:rsidRPr="004C281F" w:rsidRDefault="001E4B4C" w:rsidP="001E4B4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71B33580" w14:textId="77777777" w:rsidR="001E4B4C" w:rsidRPr="00AF7AE1" w:rsidRDefault="001E4B4C" w:rsidP="001E4B4C">
                            <w:pPr>
                              <w:pStyle w:val="af0"/>
                              <w:numPr>
                                <w:ilvl w:val="0"/>
                                <w:numId w:val="21"/>
                              </w:numPr>
                              <w:spacing w:after="0"/>
                              <w:contextualSpacing/>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RAN1] – check-point in RAN#110 upon RAN4 feedback</w:t>
                            </w:r>
                          </w:p>
                          <w:p w14:paraId="031856AE" w14:textId="77777777" w:rsidR="001E4B4C" w:rsidRPr="00AF7AE1" w:rsidRDefault="001E4B4C" w:rsidP="001E4B4C">
                            <w:pPr>
                              <w:pStyle w:val="af0"/>
                              <w:numPr>
                                <w:ilvl w:val="1"/>
                                <w:numId w:val="21"/>
                              </w:numPr>
                              <w:spacing w:after="0"/>
                              <w:contextualSpacing/>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check-point in RAN#110 </w:t>
                            </w:r>
                            <w:r w:rsidRPr="001E4B4C">
                              <w:rPr>
                                <w:bCs/>
                                <w:highlight w:val="yellow"/>
                                <w:lang w:val="en-US"/>
                              </w:rPr>
                              <w:t>upon SA WG feedback</w:t>
                            </w:r>
                          </w:p>
                          <w:p w14:paraId="57C20955" w14:textId="77777777" w:rsidR="001E4B4C" w:rsidRPr="00AF7AE1" w:rsidRDefault="001E4B4C" w:rsidP="001E4B4C">
                            <w:pPr>
                              <w:pStyle w:val="af0"/>
                              <w:numPr>
                                <w:ilvl w:val="0"/>
                                <w:numId w:val="21"/>
                              </w:numPr>
                              <w:spacing w:after="0"/>
                              <w:contextualSpacing/>
                              <w:rPr>
                                <w:bCs/>
                                <w:lang w:val="en-US"/>
                              </w:rPr>
                            </w:pPr>
                            <w:r w:rsidRPr="00AF7AE1">
                              <w:rPr>
                                <w:bCs/>
                                <w:lang w:val="en-US"/>
                              </w:rPr>
                              <w:t xml:space="preserve">Specification of standardized dataset format/content plus dataset exchange (“Direction A, sub-option 4-1”) [RAN1/RAN2/RAN3/RAN4] – check-point in RAN#110 </w:t>
                            </w:r>
                            <w:r w:rsidRPr="001E4B4C">
                              <w:rPr>
                                <w:bCs/>
                                <w:highlight w:val="yellow"/>
                                <w:lang w:val="en-US"/>
                              </w:rPr>
                              <w:t>upon SA WG feedback</w:t>
                            </w:r>
                          </w:p>
                          <w:p w14:paraId="7D2256FE" w14:textId="77777777" w:rsidR="001E4B4C" w:rsidRPr="001E4B4C" w:rsidRDefault="001E4B4C" w:rsidP="001E4B4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077FA84" id="矩形 1" o:spid="_x0000_s1026" style="width:456.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" filled="f" strokecolor="black [3213]" strokeweight="1pt">
                <v:textbox>
                  <w:txbxContent>
                    <w:p w14:paraId="50E4B9A8" w14:textId="77777777" w:rsidR="001E4B4C" w:rsidRPr="004C281F" w:rsidRDefault="001E4B4C" w:rsidP="001E4B4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71B33580" w14:textId="77777777" w:rsidR="001E4B4C" w:rsidRPr="00AF7AE1" w:rsidRDefault="001E4B4C" w:rsidP="001E4B4C">
                      <w:pPr>
                        <w:pStyle w:val="af0"/>
                        <w:numPr>
                          <w:ilvl w:val="0"/>
                          <w:numId w:val="21"/>
                        </w:numPr>
                        <w:spacing w:after="0"/>
                        <w:contextualSpacing/>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RAN1] – check-point in RAN#110 upon RAN4 feedback</w:t>
                      </w:r>
                    </w:p>
                    <w:p w14:paraId="031856AE" w14:textId="77777777" w:rsidR="001E4B4C" w:rsidRPr="00AF7AE1" w:rsidRDefault="001E4B4C" w:rsidP="001E4B4C">
                      <w:pPr>
                        <w:pStyle w:val="af0"/>
                        <w:numPr>
                          <w:ilvl w:val="1"/>
                          <w:numId w:val="21"/>
                        </w:numPr>
                        <w:spacing w:after="0"/>
                        <w:contextualSpacing/>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check-point in RAN#110 </w:t>
                      </w:r>
                      <w:r w:rsidRPr="001E4B4C">
                        <w:rPr>
                          <w:bCs/>
                          <w:highlight w:val="yellow"/>
                          <w:lang w:val="en-US"/>
                        </w:rPr>
                        <w:t>upon SA WG feedback</w:t>
                      </w:r>
                    </w:p>
                    <w:p w14:paraId="57C20955" w14:textId="77777777" w:rsidR="001E4B4C" w:rsidRPr="00AF7AE1" w:rsidRDefault="001E4B4C" w:rsidP="001E4B4C">
                      <w:pPr>
                        <w:pStyle w:val="af0"/>
                        <w:numPr>
                          <w:ilvl w:val="0"/>
                          <w:numId w:val="21"/>
                        </w:numPr>
                        <w:spacing w:after="0"/>
                        <w:contextualSpacing/>
                        <w:rPr>
                          <w:bCs/>
                          <w:lang w:val="en-US"/>
                        </w:rPr>
                      </w:pPr>
                      <w:r w:rsidRPr="00AF7AE1">
                        <w:rPr>
                          <w:bCs/>
                          <w:lang w:val="en-US"/>
                        </w:rPr>
                        <w:t xml:space="preserve">Specification of standardized dataset format/content plus dataset exchange (“Direction A, sub-option 4-1”) [RAN1/RAN2/RAN3/RAN4] – check-point in RAN#110 </w:t>
                      </w:r>
                      <w:r w:rsidRPr="001E4B4C">
                        <w:rPr>
                          <w:bCs/>
                          <w:highlight w:val="yellow"/>
                          <w:lang w:val="en-US"/>
                        </w:rPr>
                        <w:t>upon SA WG feedback</w:t>
                      </w:r>
                    </w:p>
                    <w:p w14:paraId="7D2256FE" w14:textId="77777777" w:rsidR="001E4B4C" w:rsidRPr="001E4B4C" w:rsidRDefault="001E4B4C" w:rsidP="001E4B4C">
                      <w:pPr>
                        <w:jc w:val="center"/>
                        <w:rPr>
                          <w:lang w:val="en-US"/>
                        </w:rPr>
                      </w:pPr>
                    </w:p>
                  </w:txbxContent>
                </v:textbox>
                <w10:anchorlock/>
              </v:rect>
            </w:pict>
          </mc:Fallback>
        </mc:AlternateContent>
      </w:r>
    </w:p>
    <w:p w14:paraId="79F354F0" w14:textId="131274EE" w:rsidR="0054409B" w:rsidRDefault="0054409B" w:rsidP="00294B58">
      <w:pPr>
        <w:rPr>
          <w:rFonts w:eastAsiaTheme="minorEastAsia"/>
          <w:lang w:eastAsia="zh-CN"/>
        </w:rPr>
      </w:pPr>
      <w:r>
        <w:rPr>
          <w:rFonts w:eastAsiaTheme="minorEastAsia" w:hint="eastAsia"/>
          <w:lang w:eastAsia="zh-CN"/>
        </w:rPr>
        <w:t>B</w:t>
      </w:r>
      <w:r>
        <w:rPr>
          <w:rFonts w:eastAsiaTheme="minorEastAsia"/>
          <w:lang w:eastAsia="zh-CN"/>
        </w:rPr>
        <w:t xml:space="preserve">ased on the outcome of RAN WG, </w:t>
      </w:r>
      <w:r w:rsidR="001E4B4C">
        <w:rPr>
          <w:rFonts w:eastAsiaTheme="minorEastAsia"/>
          <w:lang w:eastAsia="zh-CN"/>
        </w:rPr>
        <w:t>RAN WGs are waiting for the SA WG feedback in R20</w:t>
      </w:r>
      <w:r>
        <w:rPr>
          <w:rFonts w:eastAsiaTheme="minorEastAsia"/>
          <w:lang w:eastAsia="zh-CN"/>
        </w:rPr>
        <w:t xml:space="preserve">. There is no need to debate the wording for R19 status. </w:t>
      </w:r>
      <w:r w:rsidR="001E4B4C">
        <w:rPr>
          <w:rFonts w:eastAsiaTheme="minorEastAsia"/>
          <w:lang w:eastAsia="zh-CN"/>
        </w:rPr>
        <w:t xml:space="preserve">It would be sufficient to indicate RAN2 the current status of R20.  </w:t>
      </w:r>
    </w:p>
    <w:p w14:paraId="17A0A1D9" w14:textId="241179EA" w:rsidR="001E4B4C" w:rsidRDefault="001E4B4C" w:rsidP="001E4B4C">
      <w:pPr>
        <w:rPr>
          <w:rFonts w:eastAsiaTheme="minorEastAsia"/>
          <w:lang w:eastAsia="zh-CN"/>
        </w:rPr>
      </w:pPr>
      <w:r w:rsidRPr="001E4B4C">
        <w:rPr>
          <w:rFonts w:eastAsiaTheme="minorEastAsia" w:hint="eastAsia"/>
          <w:b/>
          <w:lang w:eastAsia="zh-CN"/>
        </w:rPr>
        <w:t>O</w:t>
      </w:r>
      <w:r w:rsidRPr="001E4B4C">
        <w:rPr>
          <w:rFonts w:eastAsiaTheme="minorEastAsia"/>
          <w:b/>
          <w:lang w:eastAsia="zh-CN"/>
        </w:rPr>
        <w:t xml:space="preserve">bservation </w:t>
      </w:r>
      <w:r>
        <w:rPr>
          <w:rFonts w:eastAsiaTheme="minorEastAsia"/>
          <w:b/>
          <w:lang w:eastAsia="zh-CN"/>
        </w:rPr>
        <w:t>1</w:t>
      </w:r>
      <w:r w:rsidRPr="001E4B4C">
        <w:rPr>
          <w:rFonts w:eastAsiaTheme="minorEastAsia"/>
          <w:b/>
          <w:lang w:eastAsia="zh-CN"/>
        </w:rPr>
        <w:t>:</w:t>
      </w:r>
      <w:r>
        <w:rPr>
          <w:rFonts w:eastAsiaTheme="minorEastAsia"/>
          <w:lang w:eastAsia="zh-CN"/>
        </w:rPr>
        <w:t xml:space="preserve"> RAN WGs are waiting for the SA WG feedback in R20, not R19 now. </w:t>
      </w:r>
    </w:p>
    <w:p w14:paraId="086DC725" w14:textId="05A1CE8F" w:rsidR="001E4B4C" w:rsidRPr="0054409B" w:rsidRDefault="001E4B4C" w:rsidP="001E4B4C">
      <w:pPr>
        <w:rPr>
          <w:rFonts w:eastAsiaTheme="minorEastAsia"/>
          <w:lang w:eastAsia="zh-CN"/>
        </w:rPr>
      </w:pPr>
      <w:r w:rsidRPr="001E4B4C">
        <w:rPr>
          <w:rFonts w:eastAsiaTheme="minorEastAsia"/>
          <w:b/>
          <w:lang w:eastAsia="zh-CN"/>
        </w:rPr>
        <w:t xml:space="preserve">Proposal </w:t>
      </w:r>
      <w:r>
        <w:rPr>
          <w:rFonts w:eastAsiaTheme="minorEastAsia"/>
          <w:b/>
          <w:lang w:eastAsia="zh-CN"/>
        </w:rPr>
        <w:t>1</w:t>
      </w:r>
      <w:r w:rsidRPr="001E4B4C">
        <w:rPr>
          <w:rFonts w:eastAsiaTheme="minorEastAsia"/>
          <w:b/>
          <w:lang w:eastAsia="zh-CN"/>
        </w:rPr>
        <w:t>:</w:t>
      </w:r>
      <w:r>
        <w:rPr>
          <w:rFonts w:eastAsiaTheme="minorEastAsia"/>
          <w:lang w:eastAsia="zh-CN"/>
        </w:rPr>
        <w:t xml:space="preserve"> </w:t>
      </w:r>
      <w:r w:rsidR="007D308A">
        <w:rPr>
          <w:rFonts w:eastAsiaTheme="minorEastAsia"/>
          <w:lang w:eastAsia="zh-CN"/>
        </w:rPr>
        <w:t>Just i</w:t>
      </w:r>
      <w:r>
        <w:rPr>
          <w:rFonts w:eastAsiaTheme="minorEastAsia"/>
          <w:lang w:eastAsia="zh-CN"/>
        </w:rPr>
        <w:t xml:space="preserve">ndicate RAN2 the current status of </w:t>
      </w:r>
      <w:r w:rsidR="00EF5DAE">
        <w:rPr>
          <w:rFonts w:eastAsiaTheme="minorEastAsia"/>
          <w:lang w:eastAsia="zh-CN"/>
        </w:rPr>
        <w:t xml:space="preserve">R19 </w:t>
      </w:r>
      <w:r>
        <w:rPr>
          <w:rFonts w:eastAsiaTheme="minorEastAsia"/>
          <w:lang w:eastAsia="zh-CN"/>
        </w:rPr>
        <w:t>AIML</w:t>
      </w:r>
      <w:r w:rsidR="00F67AFF">
        <w:rPr>
          <w:rFonts w:eastAsiaTheme="minorEastAsia"/>
          <w:lang w:eastAsia="zh-CN"/>
        </w:rPr>
        <w:t xml:space="preserve"> (i.e., Not Supported)</w:t>
      </w:r>
      <w:r w:rsidR="007D308A">
        <w:rPr>
          <w:rFonts w:eastAsiaTheme="minorEastAsia"/>
          <w:lang w:eastAsia="zh-CN"/>
        </w:rPr>
        <w:t>, without detailed description</w:t>
      </w:r>
      <w:r>
        <w:rPr>
          <w:rFonts w:eastAsiaTheme="minorEastAsia"/>
          <w:lang w:eastAsia="zh-CN"/>
        </w:rPr>
        <w:t>.</w:t>
      </w:r>
    </w:p>
    <w:p w14:paraId="4485C148" w14:textId="3547309C" w:rsidR="001E4B4C" w:rsidRDefault="001E4B4C" w:rsidP="00294B58">
      <w:pPr>
        <w:rPr>
          <w:rFonts w:eastAsiaTheme="minorEastAsia"/>
          <w:lang w:eastAsia="zh-CN"/>
        </w:rPr>
      </w:pPr>
    </w:p>
    <w:p w14:paraId="43151E29" w14:textId="77E6326A" w:rsidR="003E7304" w:rsidRPr="00F21D3E" w:rsidRDefault="003E7304" w:rsidP="003E7304">
      <w:pPr>
        <w:rPr>
          <w:rFonts w:eastAsiaTheme="minorEastAsia"/>
          <w:lang w:eastAsia="zh-CN"/>
        </w:rPr>
      </w:pPr>
      <w:r w:rsidRPr="00F21D3E">
        <w:rPr>
          <w:rFonts w:eastAsiaTheme="minorEastAsia"/>
          <w:lang w:eastAsia="zh-CN"/>
        </w:rPr>
        <w:t>2</w:t>
      </w:r>
      <w:r w:rsidRPr="00F21D3E">
        <w:rPr>
          <w:rFonts w:eastAsiaTheme="minorEastAsia"/>
          <w:lang w:eastAsia="zh-CN"/>
        </w:rPr>
        <w:t>) On how to describe the current status</w:t>
      </w:r>
      <w:r w:rsidR="00F67AFF" w:rsidRPr="00F21D3E">
        <w:rPr>
          <w:rFonts w:eastAsiaTheme="minorEastAsia"/>
          <w:lang w:eastAsia="zh-CN"/>
        </w:rPr>
        <w:t xml:space="preserve"> of R20</w:t>
      </w:r>
      <w:r w:rsidRPr="00F21D3E">
        <w:rPr>
          <w:rFonts w:eastAsiaTheme="minorEastAsia"/>
          <w:lang w:eastAsia="zh-CN"/>
        </w:rPr>
        <w:t>.</w:t>
      </w:r>
    </w:p>
    <w:p w14:paraId="3F2E7E1C" w14:textId="75A8BED4" w:rsidR="00C71B68" w:rsidRPr="00F21D3E" w:rsidRDefault="00F67AFF" w:rsidP="003E7304">
      <w:pPr>
        <w:rPr>
          <w:rFonts w:eastAsiaTheme="minorEastAsia"/>
          <w:lang w:eastAsia="zh-CN"/>
        </w:rPr>
      </w:pPr>
      <w:r w:rsidRPr="00F21D3E">
        <w:rPr>
          <w:rFonts w:eastAsiaTheme="minorEastAsia" w:hint="eastAsia"/>
          <w:lang w:eastAsia="zh-CN"/>
        </w:rPr>
        <w:t>A</w:t>
      </w:r>
      <w:r w:rsidRPr="00F21D3E">
        <w:rPr>
          <w:rFonts w:eastAsiaTheme="minorEastAsia"/>
          <w:lang w:eastAsia="zh-CN"/>
        </w:rPr>
        <w:t xml:space="preserve">s also mentioned in Bullet 1), </w:t>
      </w:r>
      <w:r w:rsidRPr="00F21D3E">
        <w:rPr>
          <w:rFonts w:eastAsiaTheme="minorEastAsia"/>
          <w:lang w:eastAsia="zh-CN"/>
        </w:rPr>
        <w:t>RAN WGs are waiting for the SA WG feedback in R20.</w:t>
      </w:r>
      <w:r w:rsidRPr="00F21D3E">
        <w:rPr>
          <w:rFonts w:eastAsiaTheme="minorEastAsia"/>
          <w:lang w:eastAsia="zh-CN"/>
        </w:rPr>
        <w:t xml:space="preserve"> This bullet is to discuss how to describe the current status of R20. </w:t>
      </w:r>
    </w:p>
    <w:p w14:paraId="68F14A19" w14:textId="44EDB935" w:rsidR="0032424D" w:rsidRPr="00F21D3E" w:rsidRDefault="00F67AFF" w:rsidP="003E7304">
      <w:pPr>
        <w:rPr>
          <w:rFonts w:eastAsiaTheme="minorEastAsia"/>
          <w:lang w:eastAsia="zh-CN"/>
        </w:rPr>
      </w:pPr>
      <w:r w:rsidRPr="00F21D3E">
        <w:rPr>
          <w:rFonts w:eastAsiaTheme="minorEastAsia"/>
          <w:lang w:eastAsia="zh-CN"/>
        </w:rPr>
        <w:t>As shown in RAN1 LS</w:t>
      </w:r>
      <w:r w:rsidR="00C71B68" w:rsidRPr="00F21D3E">
        <w:rPr>
          <w:rFonts w:eastAsiaTheme="minorEastAsia"/>
          <w:lang w:eastAsia="zh-CN"/>
        </w:rPr>
        <w:t xml:space="preserve"> R1-2410922, the data volume of the dataset can be 225MB. </w:t>
      </w:r>
      <w:r w:rsidR="0032424D" w:rsidRPr="00F21D3E">
        <w:rPr>
          <w:rFonts w:eastAsiaTheme="minorEastAsia"/>
          <w:lang w:eastAsia="zh-CN"/>
        </w:rPr>
        <w:t>But it is difficult to transfer such big amount of data in N2 interface due to the limitation of DTLS over SCTP. As shown in TS 33.501, clause 9.2 (</w:t>
      </w:r>
      <w:r w:rsidR="0032424D" w:rsidRPr="00F21D3E">
        <w:t>Security mechanisms for the N2 interface</w:t>
      </w:r>
      <w:r w:rsidR="0032424D" w:rsidRPr="00F21D3E">
        <w:rPr>
          <w:rFonts w:eastAsiaTheme="minorEastAsia"/>
          <w:lang w:eastAsia="zh-CN"/>
        </w:rPr>
        <w:t>): “</w:t>
      </w:r>
      <w:r w:rsidR="0032424D" w:rsidRPr="00F21D3E">
        <w:rPr>
          <w:rFonts w:eastAsiaTheme="minorEastAsia"/>
          <w:i/>
          <w:lang w:eastAsia="zh-CN"/>
        </w:rPr>
        <w:t>NOTE 3: DTLS over SCTP as described in RFC 6083 [53] has message size limitations.</w:t>
      </w:r>
      <w:r w:rsidR="0032424D" w:rsidRPr="00F21D3E">
        <w:rPr>
          <w:rFonts w:eastAsiaTheme="minorEastAsia"/>
          <w:lang w:eastAsia="zh-CN"/>
        </w:rPr>
        <w:t>”. The maximum user message size of DTLS over SCTP is 2^14 bytes as described in RFC 6083, which is much smaller than 22</w:t>
      </w:r>
      <w:r w:rsidR="0032424D" w:rsidRPr="00D85ECD">
        <w:rPr>
          <w:rFonts w:eastAsiaTheme="minorEastAsia"/>
          <w:lang w:eastAsia="zh-CN"/>
        </w:rPr>
        <w:t xml:space="preserve">5M. </w:t>
      </w:r>
      <w:r w:rsidR="007667FE" w:rsidRPr="00D85ECD">
        <w:rPr>
          <w:rFonts w:eastAsiaTheme="minorEastAsia" w:hint="eastAsia"/>
          <w:lang w:eastAsia="zh-CN"/>
        </w:rPr>
        <w:t>A</w:t>
      </w:r>
      <w:r w:rsidR="007667FE" w:rsidRPr="00D85ECD">
        <w:rPr>
          <w:rFonts w:eastAsiaTheme="minorEastAsia"/>
          <w:lang w:eastAsia="zh-CN"/>
        </w:rPr>
        <w:t xml:space="preserve">nd there is no fragmentation </w:t>
      </w:r>
      <w:r w:rsidR="00A845B2" w:rsidRPr="00D85ECD">
        <w:rPr>
          <w:rFonts w:eastAsiaTheme="minorEastAsia"/>
          <w:lang w:eastAsia="zh-CN"/>
        </w:rPr>
        <w:t>for N2 message.</w:t>
      </w:r>
    </w:p>
    <w:p w14:paraId="53919855" w14:textId="426A19C3" w:rsidR="00F67AFF" w:rsidRPr="0032424D" w:rsidRDefault="0032424D" w:rsidP="003E7304">
      <w:pPr>
        <w:rPr>
          <w:rFonts w:eastAsiaTheme="minorEastAsia"/>
          <w:lang w:eastAsia="zh-CN"/>
        </w:rPr>
      </w:pPr>
      <w:r w:rsidRPr="00F21D3E">
        <w:rPr>
          <w:rFonts w:eastAsiaTheme="minorEastAsia"/>
          <w:lang w:eastAsia="zh-CN"/>
        </w:rPr>
        <w:lastRenderedPageBreak/>
        <w:t xml:space="preserve">Thus, current exposure mechanism for RAN information via N2 interface (e.g., QoS notification control) cannot be directly reused. How to support the exposure of such amount of data in </w:t>
      </w:r>
      <w:r w:rsidRPr="00F21D3E">
        <w:rPr>
          <w:rFonts w:eastAsiaTheme="minorEastAsia" w:hint="eastAsia"/>
          <w:lang w:eastAsia="zh-CN"/>
        </w:rPr>
        <w:t>SA</w:t>
      </w:r>
      <w:r w:rsidRPr="00F21D3E">
        <w:rPr>
          <w:rFonts w:eastAsiaTheme="minorEastAsia"/>
          <w:lang w:eastAsia="zh-CN"/>
        </w:rPr>
        <w:t xml:space="preserve">2 requires further study. </w:t>
      </w:r>
      <w:r w:rsidR="00740FE7" w:rsidRPr="00F21D3E">
        <w:rPr>
          <w:rFonts w:eastAsiaTheme="minorEastAsia"/>
          <w:lang w:eastAsia="zh-CN"/>
        </w:rPr>
        <w:t>But current FS_AIML_CN_Ph2 does not contain such part.</w:t>
      </w:r>
      <w:r>
        <w:rPr>
          <w:rFonts w:eastAsiaTheme="minorEastAsia"/>
          <w:lang w:eastAsia="zh-CN"/>
        </w:rPr>
        <w:t xml:space="preserve">   </w:t>
      </w:r>
    </w:p>
    <w:p w14:paraId="6AAA4F19" w14:textId="25A9196F" w:rsidR="00F67AFF" w:rsidRDefault="00F67AFF" w:rsidP="003E7304">
      <w:pPr>
        <w:rPr>
          <w:rFonts w:eastAsiaTheme="minorEastAsia"/>
          <w:lang w:eastAsia="zh-CN"/>
        </w:rPr>
      </w:pPr>
      <w:r>
        <w:rPr>
          <w:rFonts w:eastAsiaTheme="minorEastAsia"/>
          <w:lang w:eastAsia="zh-CN"/>
        </w:rPr>
        <w:t xml:space="preserve">     </w:t>
      </w:r>
      <w:r w:rsidR="00C71B68">
        <w:rPr>
          <w:rFonts w:eastAsiaTheme="minorEastAsia"/>
          <w:noProof/>
          <w:lang w:eastAsia="zh-CN"/>
        </w:rPr>
        <mc:AlternateContent>
          <mc:Choice Requires="wps">
            <w:drawing>
              <wp:inline distT="0" distB="0" distL="0" distR="0" wp14:anchorId="63417570" wp14:editId="19A8D18F">
                <wp:extent cx="5800725" cy="2661719"/>
                <wp:effectExtent l="0" t="0" r="28575" b="24765"/>
                <wp:docPr id="3" name="矩形 3"/>
                <wp:cNvGraphicFramePr/>
                <a:graphic xmlns:a="http://schemas.openxmlformats.org/drawingml/2006/main">
                  <a:graphicData uri="http://schemas.microsoft.com/office/word/2010/wordprocessingShape">
                    <wps:wsp>
                      <wps:cNvSpPr/>
                      <wps:spPr>
                        <a:xfrm>
                          <a:off x="0" y="0"/>
                          <a:ext cx="5800725" cy="26617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5A0D62" w14:textId="77777777" w:rsidR="00C71B68" w:rsidRDefault="00C71B68" w:rsidP="00C71B68">
                            <w:r>
                              <w:rPr>
                                <w:b/>
                              </w:rPr>
                              <w:t xml:space="preserve">For </w:t>
                            </w:r>
                            <w:r>
                              <w:rPr>
                                <w:rFonts w:ascii="Times" w:eastAsia="Batang" w:hAnsi="Times" w:cstheme="minorBidi"/>
                                <w:b/>
                                <w:lang w:val="en-US" w:eastAsia="ko-KR"/>
                              </w:rPr>
                              <w:t>Option 4-1: sharing {target CSI, CSI feedback} dataset</w:t>
                            </w:r>
                            <w:r>
                              <w:t>:</w:t>
                            </w:r>
                          </w:p>
                          <w:p w14:paraId="46C02418" w14:textId="77777777" w:rsidR="00C71B68" w:rsidRDefault="00C71B68" w:rsidP="00C71B68">
                            <w:pPr>
                              <w:pStyle w:val="af0"/>
                              <w:numPr>
                                <w:ilvl w:val="1"/>
                                <w:numId w:val="22"/>
                              </w:numPr>
                              <w:overflowPunct/>
                              <w:autoSpaceDE/>
                              <w:autoSpaceDN/>
                              <w:adjustRightInd/>
                              <w:contextualSpacing/>
                              <w:jc w:val="both"/>
                              <w:textAlignment w:val="auto"/>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54358F19" w14:textId="77777777" w:rsidR="00C71B68" w:rsidRDefault="00C71B68" w:rsidP="00C71B68">
                            <w:pPr>
                              <w:pStyle w:val="af0"/>
                              <w:numPr>
                                <w:ilvl w:val="1"/>
                                <w:numId w:val="22"/>
                              </w:numPr>
                              <w:overflowPunct/>
                              <w:autoSpaceDE/>
                              <w:autoSpaceDN/>
                              <w:adjustRightInd/>
                              <w:contextualSpacing/>
                              <w:jc w:val="both"/>
                              <w:textAlignment w:val="auto"/>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25BF9EE1" w14:textId="77777777" w:rsidR="00C71B68" w:rsidRDefault="00C71B68" w:rsidP="00C71B68">
                            <w:pPr>
                              <w:pStyle w:val="af0"/>
                              <w:numPr>
                                <w:ilvl w:val="1"/>
                                <w:numId w:val="22"/>
                              </w:numPr>
                              <w:overflowPunct/>
                              <w:autoSpaceDE/>
                              <w:autoSpaceDN/>
                              <w:adjustRightInd/>
                              <w:contextualSpacing/>
                              <w:jc w:val="both"/>
                              <w:textAlignment w:val="auto"/>
                            </w:pPr>
                            <w:r>
                              <w:t xml:space="preserve">There is no agreement on the total number of samples </w:t>
                            </w:r>
                            <w:r w:rsidRPr="00115A82">
                              <w:t>N1 in the dataset. The range of the number of samples N1 used in RAN1 evaluations is 40K-1200K. As a representative number, RAN2 may assume that the total number of samples is around N1=600K</w:t>
                            </w:r>
                            <w:r>
                              <w:t>.</w:t>
                            </w:r>
                          </w:p>
                          <w:p w14:paraId="433EEDB0" w14:textId="77777777" w:rsidR="00C71B68" w:rsidRDefault="00C71B68" w:rsidP="00C71B68">
                            <w:pPr>
                              <w:pStyle w:val="af0"/>
                              <w:numPr>
                                <w:ilvl w:val="1"/>
                                <w:numId w:val="22"/>
                              </w:numPr>
                              <w:overflowPunct/>
                              <w:autoSpaceDE/>
                              <w:autoSpaceDN/>
                              <w:adjustRightInd/>
                              <w:contextualSpacing/>
                              <w:jc w:val="both"/>
                              <w:textAlignment w:val="auto"/>
                            </w:pPr>
                            <w:r>
                              <w:t xml:space="preserve">Summing up the above, and assuming </w:t>
                            </w:r>
                            <w:proofErr w:type="spellStart"/>
                            <w:r>
                              <w:t>eType</w:t>
                            </w:r>
                            <w:proofErr w:type="spellEnd"/>
                            <w:r>
                              <w:t xml:space="preserve">-II-like format of a size 2000 bits, the total dataset size for Option 4-1 may be roughly in the order of 600K * (2000 bits + 1000 bits) / (8bits/Byte) = </w:t>
                            </w:r>
                            <w:r w:rsidRPr="00C71B68">
                              <w:rPr>
                                <w:b/>
                                <w:bCs/>
                                <w:highlight w:val="yellow"/>
                              </w:rPr>
                              <w:t>225 MB</w:t>
                            </w:r>
                            <w:r>
                              <w:t xml:space="preserve">. The size may be smaller for </w:t>
                            </w:r>
                            <w:proofErr w:type="spellStart"/>
                            <w:r>
                              <w:t>eType</w:t>
                            </w:r>
                            <w:proofErr w:type="spellEnd"/>
                            <w:r>
                              <w:t xml:space="preserve">-II format. The size may be larger if we consider the dataset consisting of supporting multiple configurations.  </w:t>
                            </w:r>
                          </w:p>
                          <w:p w14:paraId="5D4470D2" w14:textId="77777777" w:rsidR="00C71B68" w:rsidRPr="00C71B68" w:rsidRDefault="00C71B68" w:rsidP="00C71B6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3417570" id="矩形 3" o:spid="_x0000_s1027" style="width:456.75pt;height:209.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" filled="f" strokecolor="black [3213]" strokeweight="1pt">
                <v:textbox>
                  <w:txbxContent>
                    <w:p w14:paraId="115A0D62" w14:textId="77777777" w:rsidR="00C71B68" w:rsidRDefault="00C71B68" w:rsidP="00C71B68">
                      <w:r>
                        <w:rPr>
                          <w:b/>
                        </w:rPr>
                        <w:t xml:space="preserve">For </w:t>
                      </w:r>
                      <w:r>
                        <w:rPr>
                          <w:rFonts w:ascii="Times" w:eastAsia="Batang" w:hAnsi="Times" w:cstheme="minorBidi"/>
                          <w:b/>
                          <w:lang w:val="en-US" w:eastAsia="ko-KR"/>
                        </w:rPr>
                        <w:t>Option 4-1: sharing {target CSI, CSI feedback} dataset</w:t>
                      </w:r>
                      <w:r>
                        <w:t>:</w:t>
                      </w:r>
                    </w:p>
                    <w:p w14:paraId="46C02418" w14:textId="77777777" w:rsidR="00C71B68" w:rsidRDefault="00C71B68" w:rsidP="00C71B68">
                      <w:pPr>
                        <w:pStyle w:val="af0"/>
                        <w:numPr>
                          <w:ilvl w:val="1"/>
                          <w:numId w:val="22"/>
                        </w:numPr>
                        <w:overflowPunct/>
                        <w:autoSpaceDE/>
                        <w:autoSpaceDN/>
                        <w:adjustRightInd/>
                        <w:contextualSpacing/>
                        <w:jc w:val="both"/>
                        <w:textAlignment w:val="auto"/>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54358F19" w14:textId="77777777" w:rsidR="00C71B68" w:rsidRDefault="00C71B68" w:rsidP="00C71B68">
                      <w:pPr>
                        <w:pStyle w:val="af0"/>
                        <w:numPr>
                          <w:ilvl w:val="1"/>
                          <w:numId w:val="22"/>
                        </w:numPr>
                        <w:overflowPunct/>
                        <w:autoSpaceDE/>
                        <w:autoSpaceDN/>
                        <w:adjustRightInd/>
                        <w:contextualSpacing/>
                        <w:jc w:val="both"/>
                        <w:textAlignment w:val="auto"/>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25BF9EE1" w14:textId="77777777" w:rsidR="00C71B68" w:rsidRDefault="00C71B68" w:rsidP="00C71B68">
                      <w:pPr>
                        <w:pStyle w:val="af0"/>
                        <w:numPr>
                          <w:ilvl w:val="1"/>
                          <w:numId w:val="22"/>
                        </w:numPr>
                        <w:overflowPunct/>
                        <w:autoSpaceDE/>
                        <w:autoSpaceDN/>
                        <w:adjustRightInd/>
                        <w:contextualSpacing/>
                        <w:jc w:val="both"/>
                        <w:textAlignment w:val="auto"/>
                      </w:pPr>
                      <w:r>
                        <w:t xml:space="preserve">There is no agreement on the total number of samples </w:t>
                      </w:r>
                      <w:r w:rsidRPr="00115A82">
                        <w:t>N1 in the dataset. The range of the number of samples N1 used in RAN1 evaluations is 40K-1200K. As a representative number, RAN2 may assume that the total number of samples is around N1=600K</w:t>
                      </w:r>
                      <w:r>
                        <w:t>.</w:t>
                      </w:r>
                    </w:p>
                    <w:p w14:paraId="433EEDB0" w14:textId="77777777" w:rsidR="00C71B68" w:rsidRDefault="00C71B68" w:rsidP="00C71B68">
                      <w:pPr>
                        <w:pStyle w:val="af0"/>
                        <w:numPr>
                          <w:ilvl w:val="1"/>
                          <w:numId w:val="22"/>
                        </w:numPr>
                        <w:overflowPunct/>
                        <w:autoSpaceDE/>
                        <w:autoSpaceDN/>
                        <w:adjustRightInd/>
                        <w:contextualSpacing/>
                        <w:jc w:val="both"/>
                        <w:textAlignment w:val="auto"/>
                      </w:pPr>
                      <w:r>
                        <w:t xml:space="preserve">Summing up the above, and assuming </w:t>
                      </w:r>
                      <w:proofErr w:type="spellStart"/>
                      <w:r>
                        <w:t>eType</w:t>
                      </w:r>
                      <w:proofErr w:type="spellEnd"/>
                      <w:r>
                        <w:t xml:space="preserve">-II-like format of a size 2000 bits, the total dataset size for Option 4-1 may be roughly in the order of 600K * (2000 bits + 1000 bits) / (8bits/Byte) = </w:t>
                      </w:r>
                      <w:r w:rsidRPr="00C71B68">
                        <w:rPr>
                          <w:b/>
                          <w:bCs/>
                          <w:highlight w:val="yellow"/>
                        </w:rPr>
                        <w:t>225 MB</w:t>
                      </w:r>
                      <w:r>
                        <w:t xml:space="preserve">. The size may be smaller for </w:t>
                      </w:r>
                      <w:proofErr w:type="spellStart"/>
                      <w:r>
                        <w:t>eType</w:t>
                      </w:r>
                      <w:proofErr w:type="spellEnd"/>
                      <w:r>
                        <w:t xml:space="preserve">-II format. The size may be larger if we consider the dataset consisting of supporting multiple configurations.  </w:t>
                      </w:r>
                    </w:p>
                    <w:p w14:paraId="5D4470D2" w14:textId="77777777" w:rsidR="00C71B68" w:rsidRPr="00C71B68" w:rsidRDefault="00C71B68" w:rsidP="00C71B68">
                      <w:pPr>
                        <w:jc w:val="center"/>
                      </w:pPr>
                    </w:p>
                  </w:txbxContent>
                </v:textbox>
                <w10:anchorlock/>
              </v:rect>
            </w:pict>
          </mc:Fallback>
        </mc:AlternateContent>
      </w:r>
    </w:p>
    <w:p w14:paraId="5B576166" w14:textId="336C6685" w:rsidR="003E7304" w:rsidRDefault="00F67AFF" w:rsidP="003E7304">
      <w:pPr>
        <w:rPr>
          <w:rFonts w:eastAsiaTheme="minorEastAsia"/>
          <w:lang w:eastAsia="zh-CN"/>
        </w:rPr>
      </w:pPr>
      <w:r>
        <w:rPr>
          <w:rFonts w:eastAsiaTheme="minorEastAsia"/>
          <w:lang w:eastAsia="zh-CN"/>
        </w:rPr>
        <w:t xml:space="preserve"> </w:t>
      </w:r>
      <w:r w:rsidR="003E7304">
        <w:rPr>
          <w:rFonts w:eastAsiaTheme="minorEastAsia"/>
          <w:lang w:eastAsia="zh-CN"/>
        </w:rPr>
        <w:t xml:space="preserve">  </w:t>
      </w:r>
    </w:p>
    <w:p w14:paraId="42406032" w14:textId="22CD9FA7" w:rsidR="003E7304" w:rsidRPr="00F21D3E" w:rsidRDefault="003E7304" w:rsidP="003E7304">
      <w:pPr>
        <w:rPr>
          <w:rFonts w:eastAsiaTheme="minorEastAsia"/>
          <w:lang w:eastAsia="zh-CN"/>
        </w:rPr>
      </w:pPr>
      <w:r w:rsidRPr="00F21D3E">
        <w:rPr>
          <w:rFonts w:eastAsiaTheme="minorEastAsia" w:hint="eastAsia"/>
          <w:b/>
          <w:lang w:eastAsia="zh-CN"/>
        </w:rPr>
        <w:t>O</w:t>
      </w:r>
      <w:r w:rsidRPr="00F21D3E">
        <w:rPr>
          <w:rFonts w:eastAsiaTheme="minorEastAsia"/>
          <w:b/>
          <w:lang w:eastAsia="zh-CN"/>
        </w:rPr>
        <w:t xml:space="preserve">bservation </w:t>
      </w:r>
      <w:r w:rsidR="00F67AFF" w:rsidRPr="00F21D3E">
        <w:rPr>
          <w:rFonts w:eastAsiaTheme="minorEastAsia"/>
          <w:b/>
          <w:lang w:eastAsia="zh-CN"/>
        </w:rPr>
        <w:t>2</w:t>
      </w:r>
      <w:r w:rsidRPr="00F21D3E">
        <w:rPr>
          <w:rFonts w:eastAsiaTheme="minorEastAsia"/>
          <w:b/>
          <w:lang w:eastAsia="zh-CN"/>
        </w:rPr>
        <w:t>:</w:t>
      </w:r>
      <w:r w:rsidRPr="00F21D3E">
        <w:rPr>
          <w:rFonts w:eastAsiaTheme="minorEastAsia"/>
          <w:lang w:eastAsia="zh-CN"/>
        </w:rPr>
        <w:t xml:space="preserve"> </w:t>
      </w:r>
      <w:r w:rsidR="00740FE7" w:rsidRPr="00F21D3E">
        <w:rPr>
          <w:rFonts w:eastAsiaTheme="minorEastAsia"/>
          <w:lang w:eastAsia="zh-CN"/>
        </w:rPr>
        <w:t>C</w:t>
      </w:r>
      <w:r w:rsidR="00740FE7" w:rsidRPr="00F21D3E">
        <w:rPr>
          <w:rFonts w:eastAsiaTheme="minorEastAsia"/>
          <w:lang w:eastAsia="zh-CN"/>
        </w:rPr>
        <w:t>urrent exposure mechanism for RAN information via N2 interface (e.g., QoS notification control) cannot be directly reused</w:t>
      </w:r>
      <w:r w:rsidR="00740FE7" w:rsidRPr="00F21D3E">
        <w:rPr>
          <w:rFonts w:eastAsiaTheme="minorEastAsia"/>
          <w:lang w:eastAsia="zh-CN"/>
        </w:rPr>
        <w:t xml:space="preserve"> to expose the dataset, which can be 225M</w:t>
      </w:r>
      <w:r w:rsidRPr="00F21D3E">
        <w:rPr>
          <w:rFonts w:eastAsiaTheme="minorEastAsia"/>
          <w:lang w:eastAsia="zh-CN"/>
        </w:rPr>
        <w:t xml:space="preserve">. </w:t>
      </w:r>
    </w:p>
    <w:p w14:paraId="07208F51" w14:textId="7F2054E2" w:rsidR="003E7304" w:rsidRDefault="003E7304" w:rsidP="003E7304">
      <w:pPr>
        <w:rPr>
          <w:rFonts w:eastAsiaTheme="minorEastAsia"/>
          <w:lang w:eastAsia="zh-CN"/>
        </w:rPr>
      </w:pPr>
      <w:r w:rsidRPr="00F21D3E">
        <w:rPr>
          <w:rFonts w:eastAsiaTheme="minorEastAsia"/>
          <w:b/>
          <w:lang w:eastAsia="zh-CN"/>
        </w:rPr>
        <w:t xml:space="preserve">Proposal </w:t>
      </w:r>
      <w:r w:rsidR="00F67AFF" w:rsidRPr="00F21D3E">
        <w:rPr>
          <w:rFonts w:eastAsiaTheme="minorEastAsia"/>
          <w:b/>
          <w:lang w:eastAsia="zh-CN"/>
        </w:rPr>
        <w:t>2</w:t>
      </w:r>
      <w:r w:rsidRPr="00F21D3E">
        <w:rPr>
          <w:rFonts w:eastAsiaTheme="minorEastAsia"/>
          <w:b/>
          <w:lang w:eastAsia="zh-CN"/>
        </w:rPr>
        <w:t>:</w:t>
      </w:r>
      <w:r w:rsidRPr="00F21D3E">
        <w:rPr>
          <w:rFonts w:eastAsiaTheme="minorEastAsia"/>
          <w:lang w:eastAsia="zh-CN"/>
        </w:rPr>
        <w:t xml:space="preserve"> </w:t>
      </w:r>
      <w:r w:rsidR="00740FE7" w:rsidRPr="00F21D3E">
        <w:rPr>
          <w:rFonts w:eastAsiaTheme="minorEastAsia"/>
          <w:lang w:eastAsia="zh-CN"/>
        </w:rPr>
        <w:t>I</w:t>
      </w:r>
      <w:r w:rsidRPr="00F21D3E">
        <w:rPr>
          <w:rFonts w:eastAsiaTheme="minorEastAsia"/>
          <w:lang w:eastAsia="zh-CN"/>
        </w:rPr>
        <w:t>ndicate RAN2 the current status of R</w:t>
      </w:r>
      <w:r w:rsidR="00740FE7" w:rsidRPr="00F21D3E">
        <w:rPr>
          <w:rFonts w:eastAsiaTheme="minorEastAsia"/>
          <w:lang w:eastAsia="zh-CN"/>
        </w:rPr>
        <w:t>20</w:t>
      </w:r>
      <w:r w:rsidRPr="00F21D3E">
        <w:rPr>
          <w:rFonts w:eastAsiaTheme="minorEastAsia"/>
          <w:lang w:eastAsia="zh-CN"/>
        </w:rPr>
        <w:t xml:space="preserve"> AIML</w:t>
      </w:r>
      <w:r w:rsidR="00740FE7" w:rsidRPr="00F21D3E">
        <w:rPr>
          <w:rFonts w:eastAsiaTheme="minorEastAsia"/>
          <w:lang w:eastAsia="zh-CN"/>
        </w:rPr>
        <w:t xml:space="preserve"> that the current </w:t>
      </w:r>
      <w:r w:rsidR="00740FE7" w:rsidRPr="00F21D3E">
        <w:rPr>
          <w:rFonts w:eastAsiaTheme="minorEastAsia"/>
          <w:lang w:eastAsia="zh-CN"/>
        </w:rPr>
        <w:t>exposure mechanism for RAN information via N2 interface</w:t>
      </w:r>
      <w:r w:rsidR="00740FE7" w:rsidRPr="00F21D3E">
        <w:rPr>
          <w:rFonts w:eastAsiaTheme="minorEastAsia"/>
          <w:lang w:eastAsia="zh-CN"/>
        </w:rPr>
        <w:t xml:space="preserve"> is not feasible to transfer such big amount of data. How to support it in SA2 requires further study. But current FS_AIML_CN_Ph2 does not contain such part.</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02AD3D37" w:rsidR="00294B58" w:rsidRPr="0054409B" w:rsidRDefault="001E4B4C" w:rsidP="00294B58">
      <w:pPr>
        <w:rPr>
          <w:rFonts w:eastAsiaTheme="minorEastAsia"/>
          <w:lang w:eastAsia="zh-CN"/>
        </w:rPr>
      </w:pPr>
      <w:r>
        <w:rPr>
          <w:rFonts w:eastAsiaTheme="minorEastAsia"/>
          <w:lang w:eastAsia="zh-CN"/>
        </w:rPr>
        <w:t xml:space="preserve">It is proposed to reflect </w:t>
      </w:r>
      <w:r w:rsidR="00F67AFF">
        <w:rPr>
          <w:rFonts w:eastAsiaTheme="minorEastAsia"/>
          <w:lang w:eastAsia="zh-CN"/>
        </w:rPr>
        <w:t xml:space="preserve">above </w:t>
      </w:r>
      <w:r w:rsidR="006B4442">
        <w:rPr>
          <w:rFonts w:eastAsiaTheme="minorEastAsia"/>
          <w:lang w:eastAsia="zh-CN"/>
        </w:rPr>
        <w:t>Proposals</w:t>
      </w:r>
      <w:r>
        <w:rPr>
          <w:rFonts w:eastAsiaTheme="minorEastAsia"/>
          <w:lang w:eastAsia="zh-CN"/>
        </w:rPr>
        <w:t xml:space="preserve"> in the LS Reply on </w:t>
      </w:r>
      <w:proofErr w:type="spellStart"/>
      <w:r w:rsidR="00D46CE7" w:rsidRPr="00D46CE7">
        <w:rPr>
          <w:rFonts w:eastAsiaTheme="minorEastAsia"/>
          <w:lang w:eastAsia="zh-CN"/>
        </w:rPr>
        <w:t>signaling</w:t>
      </w:r>
      <w:proofErr w:type="spellEnd"/>
      <w:r w:rsidR="00D46CE7" w:rsidRPr="00D46CE7">
        <w:rPr>
          <w:rFonts w:eastAsiaTheme="minorEastAsia"/>
          <w:lang w:eastAsia="zh-CN"/>
        </w:rPr>
        <w:t xml:space="preserve"> feasibility of dataset and parameter sharing</w:t>
      </w:r>
      <w:r w:rsidR="00F67AFF">
        <w:rPr>
          <w:rFonts w:eastAsiaTheme="minorEastAsia"/>
          <w:lang w:eastAsia="zh-CN"/>
        </w:rPr>
        <w:t xml:space="preserve"> as in </w:t>
      </w:r>
      <w:r w:rsidR="006B4442" w:rsidRPr="006B4442">
        <w:rPr>
          <w:rFonts w:eastAsiaTheme="minorEastAsia"/>
          <w:lang w:eastAsia="zh-CN"/>
        </w:rPr>
        <w:t>S2-2506671</w:t>
      </w:r>
      <w:r w:rsidR="00D46CE7">
        <w:rPr>
          <w:rFonts w:eastAsiaTheme="minorEastAsia"/>
          <w:lang w:eastAsia="zh-CN"/>
        </w:rPr>
        <w:t>.</w:t>
      </w:r>
    </w:p>
    <w:p w14:paraId="54DAD2AB" w14:textId="77777777"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A276A" w14:textId="77777777" w:rsidR="00882E3B" w:rsidRDefault="00882E3B">
      <w:r>
        <w:separator/>
      </w:r>
    </w:p>
    <w:p w14:paraId="0DE6E1F5" w14:textId="77777777" w:rsidR="00882E3B" w:rsidRDefault="00882E3B"/>
  </w:endnote>
  <w:endnote w:type="continuationSeparator" w:id="0">
    <w:p w14:paraId="0D861EA1" w14:textId="77777777" w:rsidR="00882E3B" w:rsidRDefault="00882E3B">
      <w:r>
        <w:continuationSeparator/>
      </w:r>
    </w:p>
    <w:p w14:paraId="6D51B9D0" w14:textId="77777777" w:rsidR="00882E3B" w:rsidRDefault="00882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BCF9D" w14:textId="77777777" w:rsidR="00882E3B" w:rsidRDefault="00882E3B">
      <w:r>
        <w:separator/>
      </w:r>
    </w:p>
    <w:p w14:paraId="4EE888A2" w14:textId="77777777" w:rsidR="00882E3B" w:rsidRDefault="00882E3B"/>
  </w:footnote>
  <w:footnote w:type="continuationSeparator" w:id="0">
    <w:p w14:paraId="167AFC27" w14:textId="77777777" w:rsidR="00882E3B" w:rsidRDefault="00882E3B">
      <w:r>
        <w:continuationSeparator/>
      </w:r>
    </w:p>
    <w:p w14:paraId="07282090" w14:textId="77777777" w:rsidR="00882E3B" w:rsidRDefault="00882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20"/>
  </w:num>
  <w:num w:numId="7">
    <w:abstractNumId w:val="7"/>
  </w:num>
  <w:num w:numId="8">
    <w:abstractNumId w:val="11"/>
  </w:num>
  <w:num w:numId="9">
    <w:abstractNumId w:val="19"/>
  </w:num>
  <w:num w:numId="10">
    <w:abstractNumId w:val="21"/>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8"/>
  </w:num>
  <w:num w:numId="18">
    <w:abstractNumId w:val="10"/>
  </w:num>
  <w:num w:numId="19">
    <w:abstractNumId w:val="14"/>
  </w:num>
  <w:num w:numId="20">
    <w:abstractNumId w:val="17"/>
  </w:num>
  <w:num w:numId="21">
    <w:abstractNumId w:val="16"/>
  </w:num>
  <w:num w:numId="2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B4C"/>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24D"/>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304"/>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78F0"/>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09B"/>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4EC4"/>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442"/>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0FE7"/>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67FE"/>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08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2E3B"/>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5C2"/>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45B2"/>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04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B68"/>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CE7"/>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5ECD"/>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F28"/>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8F1"/>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35D8"/>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DAE"/>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1D3E"/>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AFF"/>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sid w:val="00C71B6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19FEFE-A435-426C-BE46-2EA1DF3D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SA2</cp:lastModifiedBy>
  <cp:revision>2</cp:revision>
  <cp:lastPrinted>2018-08-13T16:59:00Z</cp:lastPrinted>
  <dcterms:created xsi:type="dcterms:W3CDTF">2025-08-15T02:08:00Z</dcterms:created>
  <dcterms:modified xsi:type="dcterms:W3CDTF">2025-08-15T02:08:00Z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